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BB55F" w14:textId="77777777" w:rsidR="00D66C1B" w:rsidRPr="00221FE5" w:rsidRDefault="00000000">
      <w:pPr>
        <w:pStyle w:val="Title"/>
        <w:spacing w:before="74"/>
        <w:rPr>
          <w:b/>
          <w:bCs/>
        </w:rPr>
      </w:pPr>
      <w:r w:rsidRPr="00221FE5">
        <w:rPr>
          <w:b/>
          <w:bCs/>
          <w:color w:val="F04B54"/>
        </w:rPr>
        <w:t>Додаток</w:t>
      </w:r>
      <w:r w:rsidRPr="00221FE5">
        <w:rPr>
          <w:b/>
          <w:bCs/>
          <w:color w:val="F04B54"/>
          <w:spacing w:val="7"/>
        </w:rPr>
        <w:t xml:space="preserve"> </w:t>
      </w:r>
      <w:r w:rsidRPr="00221FE5">
        <w:rPr>
          <w:b/>
          <w:bCs/>
          <w:color w:val="F04B54"/>
        </w:rPr>
        <w:t>25</w:t>
      </w:r>
      <w:r w:rsidRPr="00221FE5">
        <w:rPr>
          <w:b/>
          <w:bCs/>
          <w:color w:val="F04B54"/>
          <w:spacing w:val="7"/>
        </w:rPr>
        <w:t xml:space="preserve"> </w:t>
      </w:r>
      <w:r w:rsidRPr="00221FE5">
        <w:rPr>
          <w:b/>
          <w:bCs/>
          <w:color w:val="F04B54"/>
        </w:rPr>
        <w:t>—</w:t>
      </w:r>
      <w:r w:rsidRPr="00221FE5">
        <w:rPr>
          <w:b/>
          <w:bCs/>
          <w:color w:val="F04B54"/>
          <w:spacing w:val="8"/>
        </w:rPr>
        <w:t xml:space="preserve"> </w:t>
      </w:r>
      <w:r w:rsidRPr="00221FE5">
        <w:rPr>
          <w:b/>
          <w:bCs/>
          <w:color w:val="F04B54"/>
        </w:rPr>
        <w:t>Як</w:t>
      </w:r>
      <w:r w:rsidRPr="00221FE5">
        <w:rPr>
          <w:b/>
          <w:bCs/>
          <w:color w:val="F04B54"/>
          <w:spacing w:val="7"/>
        </w:rPr>
        <w:t xml:space="preserve"> </w:t>
      </w:r>
      <w:r w:rsidRPr="00221FE5">
        <w:rPr>
          <w:b/>
          <w:bCs/>
          <w:color w:val="F04B54"/>
        </w:rPr>
        <w:t>пояснити</w:t>
      </w:r>
      <w:r w:rsidRPr="00221FE5">
        <w:rPr>
          <w:b/>
          <w:bCs/>
          <w:color w:val="F04B54"/>
          <w:spacing w:val="8"/>
        </w:rPr>
        <w:t xml:space="preserve"> </w:t>
      </w:r>
      <w:r w:rsidRPr="00221FE5">
        <w:rPr>
          <w:b/>
          <w:bCs/>
          <w:color w:val="F04B54"/>
        </w:rPr>
        <w:t>дотримання</w:t>
      </w:r>
      <w:r w:rsidRPr="00221FE5">
        <w:rPr>
          <w:b/>
          <w:bCs/>
          <w:color w:val="F04B54"/>
          <w:spacing w:val="7"/>
        </w:rPr>
        <w:t xml:space="preserve"> </w:t>
      </w:r>
      <w:r w:rsidRPr="00221FE5">
        <w:rPr>
          <w:b/>
          <w:bCs/>
          <w:color w:val="F04B54"/>
        </w:rPr>
        <w:t>конфіденційності</w:t>
      </w:r>
      <w:r w:rsidRPr="00221FE5">
        <w:rPr>
          <w:b/>
          <w:bCs/>
          <w:color w:val="F04B54"/>
          <w:position w:val="8"/>
          <w:sz w:val="14"/>
        </w:rPr>
        <w:t>14</w:t>
      </w:r>
      <w:r w:rsidRPr="00221FE5">
        <w:rPr>
          <w:b/>
          <w:bCs/>
          <w:color w:val="F04B54"/>
          <w:spacing w:val="33"/>
          <w:position w:val="8"/>
          <w:sz w:val="14"/>
        </w:rPr>
        <w:t xml:space="preserve"> </w:t>
      </w:r>
      <w:r w:rsidRPr="00221FE5">
        <w:rPr>
          <w:b/>
          <w:bCs/>
          <w:color w:val="F04B54"/>
        </w:rPr>
        <w:t>—</w:t>
      </w:r>
      <w:r w:rsidRPr="00221FE5">
        <w:rPr>
          <w:b/>
          <w:bCs/>
          <w:color w:val="F04B54"/>
          <w:spacing w:val="8"/>
        </w:rPr>
        <w:t xml:space="preserve"> </w:t>
      </w:r>
      <w:r w:rsidRPr="00221FE5">
        <w:rPr>
          <w:b/>
          <w:bCs/>
          <w:color w:val="F04B54"/>
          <w:spacing w:val="-2"/>
        </w:rPr>
        <w:t>активність</w:t>
      </w:r>
    </w:p>
    <w:p w14:paraId="62E9F086" w14:textId="77777777" w:rsidR="00D66C1B" w:rsidRPr="00221FE5" w:rsidRDefault="00000000">
      <w:pPr>
        <w:pStyle w:val="Title"/>
        <w:rPr>
          <w:b/>
          <w:bCs/>
        </w:rPr>
      </w:pPr>
      <w:r w:rsidRPr="00221FE5">
        <w:rPr>
          <w:b/>
          <w:bCs/>
          <w:color w:val="F04B54"/>
        </w:rPr>
        <w:t>«Зубна</w:t>
      </w:r>
      <w:r w:rsidRPr="00221FE5">
        <w:rPr>
          <w:b/>
          <w:bCs/>
          <w:color w:val="F04B54"/>
          <w:spacing w:val="17"/>
        </w:rPr>
        <w:t xml:space="preserve"> </w:t>
      </w:r>
      <w:r w:rsidRPr="00221FE5">
        <w:rPr>
          <w:b/>
          <w:bCs/>
          <w:color w:val="F04B54"/>
          <w:spacing w:val="-2"/>
        </w:rPr>
        <w:t>паста»</w:t>
      </w:r>
    </w:p>
    <w:p w14:paraId="43BD3DEA" w14:textId="0748A344" w:rsidR="00D66C1B" w:rsidRDefault="00D66C1B">
      <w:pPr>
        <w:pStyle w:val="BodyText"/>
        <w:spacing w:before="9"/>
        <w:rPr>
          <w:sz w:val="13"/>
        </w:rPr>
      </w:pPr>
    </w:p>
    <w:p w14:paraId="4DFD0FCD" w14:textId="77777777" w:rsidR="00D66C1B" w:rsidRDefault="00000000">
      <w:pPr>
        <w:pStyle w:val="BodyText"/>
        <w:spacing w:before="223" w:line="235" w:lineRule="auto"/>
        <w:ind w:left="117" w:right="136"/>
      </w:pPr>
      <w:r>
        <w:rPr>
          <w:color w:val="231F20"/>
        </w:rPr>
        <w:t>Ця сесія проходить у безпечному середовищі. Це означає, що ми будемо ставитися один до одного з добротою, повагою і терпимістю до різних думок. Крім того, це означає, що ви можете ділитися всім, чим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хочете,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ніхто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ділитися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особистими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приватними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справами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межами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цієї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сесії. Важливо, щоб ми всі погодилися на це, тому що так ми почуватимемося безпечніше і комфортніше під час спілкування.</w:t>
      </w:r>
    </w:p>
    <w:p w14:paraId="0054047E" w14:textId="77777777" w:rsidR="00D66C1B" w:rsidRDefault="00000000">
      <w:pPr>
        <w:pStyle w:val="BodyText"/>
        <w:spacing w:before="239"/>
        <w:ind w:left="117"/>
      </w:pPr>
      <w:r>
        <w:rPr>
          <w:color w:val="231F20"/>
        </w:rPr>
        <w:t xml:space="preserve">Див. нижче активність «Зубна </w:t>
      </w:r>
      <w:r>
        <w:rPr>
          <w:color w:val="231F20"/>
          <w:spacing w:val="-2"/>
        </w:rPr>
        <w:t>паста».</w:t>
      </w:r>
    </w:p>
    <w:p w14:paraId="323D0128" w14:textId="77777777" w:rsidR="00D66C1B" w:rsidRDefault="00D66C1B">
      <w:pPr>
        <w:pStyle w:val="BodyText"/>
        <w:spacing w:before="200"/>
      </w:pPr>
    </w:p>
    <w:p w14:paraId="69623BE3" w14:textId="77777777" w:rsidR="00D66C1B" w:rsidRPr="00221FE5" w:rsidRDefault="00000000">
      <w:pPr>
        <w:pStyle w:val="BodyText"/>
        <w:ind w:left="117"/>
        <w:rPr>
          <w:b/>
          <w:bCs/>
          <w:sz w:val="10"/>
        </w:rPr>
      </w:pPr>
      <w:r w:rsidRPr="00221FE5">
        <w:rPr>
          <w:b/>
          <w:bCs/>
          <w:color w:val="231F20"/>
          <w:w w:val="110"/>
        </w:rPr>
        <w:t>Активність «Зубна</w:t>
      </w:r>
      <w:r w:rsidRPr="00221FE5">
        <w:rPr>
          <w:b/>
          <w:bCs/>
          <w:color w:val="231F20"/>
          <w:spacing w:val="-1"/>
          <w:w w:val="110"/>
        </w:rPr>
        <w:t xml:space="preserve"> </w:t>
      </w:r>
      <w:r w:rsidRPr="00221FE5">
        <w:rPr>
          <w:b/>
          <w:bCs/>
          <w:color w:val="231F20"/>
          <w:spacing w:val="-2"/>
          <w:w w:val="110"/>
        </w:rPr>
        <w:t>паста»</w:t>
      </w:r>
      <w:r w:rsidRPr="00221FE5">
        <w:rPr>
          <w:b/>
          <w:bCs/>
          <w:color w:val="231F20"/>
          <w:spacing w:val="-2"/>
          <w:w w:val="110"/>
          <w:position w:val="6"/>
          <w:sz w:val="10"/>
        </w:rPr>
        <w:t>15</w:t>
      </w:r>
    </w:p>
    <w:p w14:paraId="78A07251" w14:textId="77777777" w:rsidR="00D66C1B" w:rsidRDefault="00000000">
      <w:pPr>
        <w:pStyle w:val="BodyText"/>
        <w:spacing w:before="179" w:line="235" w:lineRule="auto"/>
        <w:ind w:left="117" w:right="305"/>
        <w:jc w:val="both"/>
      </w:pPr>
      <w:r>
        <w:rPr>
          <w:color w:val="231F20"/>
        </w:rPr>
        <w:t>Коли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діти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обговорюють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питання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групі,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особливо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група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знаходиться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Інтернеті,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може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бути важко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зберегти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конфіденційність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сказаного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членами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групи.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Наведену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нижче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ідею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адаптувати до вашого контексту особистого спілкування чи спілкування в Інтернеті.</w:t>
      </w:r>
    </w:p>
    <w:p w14:paraId="3E4E7B1F" w14:textId="77777777" w:rsidR="00D66C1B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195" w:line="254" w:lineRule="auto"/>
        <w:ind w:right="710"/>
        <w:rPr>
          <w:sz w:val="18"/>
        </w:rPr>
      </w:pPr>
      <w:r>
        <w:rPr>
          <w:color w:val="231F20"/>
          <w:sz w:val="18"/>
        </w:rPr>
        <w:t>Видавіть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велику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кількість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зубної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пасти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тюбика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попросіть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волонтера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покласти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її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назад.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Це можна зробити наочно, показати на екрані або використати як метафору.</w:t>
      </w:r>
    </w:p>
    <w:p w14:paraId="63D62B1A" w14:textId="77777777" w:rsidR="00D66C1B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90" w:line="254" w:lineRule="auto"/>
        <w:ind w:right="506"/>
        <w:rPr>
          <w:sz w:val="18"/>
        </w:rPr>
      </w:pPr>
      <w:r>
        <w:rPr>
          <w:color w:val="231F20"/>
          <w:sz w:val="18"/>
        </w:rPr>
        <w:t>Коли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намагатимуться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зробити,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обговоріть,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само,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ділитися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інформацією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 групі — її дуже важко забрати назад! Заохочуйте дітей поговорити про це.</w:t>
      </w:r>
    </w:p>
    <w:p w14:paraId="2A40724B" w14:textId="77777777" w:rsidR="00D66C1B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90" w:line="254" w:lineRule="auto"/>
        <w:ind w:right="136"/>
        <w:rPr>
          <w:sz w:val="18"/>
        </w:rPr>
      </w:pPr>
      <w:r>
        <w:rPr>
          <w:color w:val="231F20"/>
          <w:sz w:val="18"/>
        </w:rPr>
        <w:t>Після завершення обговорення станьте в коло, якщо це доречно, і поясніть, що для того, щоб інформація залишалася приватною або не виходила за межі групи, ви хотіли б запропонувати правило, згідно з яким учасники групи можуть говорити з іншими про питання, які обговорювалися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під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час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вправи,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але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можуть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називати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жодних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імен.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Поясніть,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таким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чином учасники групи діють як "коло довіри" один до одного.</w:t>
      </w:r>
    </w:p>
    <w:p w14:paraId="056D65AA" w14:textId="77777777" w:rsidR="00D66C1B" w:rsidRDefault="00000000">
      <w:pPr>
        <w:pStyle w:val="BodyText"/>
        <w:spacing w:before="164" w:line="235" w:lineRule="auto"/>
        <w:ind w:left="117" w:right="404"/>
        <w:jc w:val="both"/>
      </w:pP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цьому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етапі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запитайте,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згідні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цим.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хтось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згідний,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продовжуйте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обговорювати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 питання і те, наскільки важливо, щоб усі погодилися, доки всі не дійдуть згоди.</w:t>
      </w:r>
    </w:p>
    <w:p w14:paraId="50E1E9FF" w14:textId="77777777" w:rsidR="00D66C1B" w:rsidRDefault="00000000">
      <w:pPr>
        <w:pStyle w:val="BodyText"/>
        <w:spacing w:before="245" w:line="235" w:lineRule="auto"/>
        <w:ind w:left="117" w:right="136"/>
      </w:pPr>
      <w:r>
        <w:rPr>
          <w:color w:val="231F20"/>
        </w:rPr>
        <w:t>Єдиний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виняток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хтось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групи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розповість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хтось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завдав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йому/їй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болю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піддав насиллю. Мій обов'язок як дорослого, що піклується про вас, допомогти вам бути в безпеці та захистити вас від шкоди. Якщо я дізнаюся, що хтось піддає вас насиллю, я зроблю все, що в моїх силах, щоб допомогти вам і не допустити, щоб це коли-небудь повторилося.</w:t>
      </w:r>
    </w:p>
    <w:p w14:paraId="05DAC12B" w14:textId="77777777" w:rsidR="00D66C1B" w:rsidRDefault="00000000">
      <w:pPr>
        <w:pStyle w:val="BodyText"/>
        <w:spacing w:before="243" w:line="235" w:lineRule="auto"/>
        <w:ind w:left="117" w:right="32"/>
      </w:pPr>
      <w:r>
        <w:rPr>
          <w:color w:val="231F20"/>
        </w:rPr>
        <w:t>Бувають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випадки,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незручно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ділитися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чимось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дуже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особистим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групі.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зобов'язані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цього робити, якщо не хочете. Якщо ви хочете поговорити зі мною про щось наодинці — ви завжди можете це зробити. Зверніться до мене, і ми домовимося про час для розмови.</w:t>
      </w:r>
    </w:p>
    <w:p w14:paraId="343146D2" w14:textId="77777777" w:rsidR="00D66C1B" w:rsidRDefault="00D66C1B">
      <w:pPr>
        <w:pStyle w:val="BodyText"/>
        <w:rPr>
          <w:sz w:val="20"/>
        </w:rPr>
      </w:pPr>
    </w:p>
    <w:p w14:paraId="6176A29B" w14:textId="77777777" w:rsidR="00D66C1B" w:rsidRDefault="00D66C1B">
      <w:pPr>
        <w:pStyle w:val="BodyText"/>
        <w:rPr>
          <w:sz w:val="20"/>
        </w:rPr>
      </w:pPr>
    </w:p>
    <w:p w14:paraId="1F48F69E" w14:textId="77777777" w:rsidR="00D66C1B" w:rsidRDefault="00D66C1B">
      <w:pPr>
        <w:pStyle w:val="BodyText"/>
        <w:rPr>
          <w:sz w:val="20"/>
        </w:rPr>
      </w:pPr>
    </w:p>
    <w:p w14:paraId="4D29CADD" w14:textId="77777777" w:rsidR="00D66C1B" w:rsidRDefault="00D66C1B">
      <w:pPr>
        <w:pStyle w:val="BodyText"/>
        <w:rPr>
          <w:sz w:val="20"/>
        </w:rPr>
      </w:pPr>
    </w:p>
    <w:p w14:paraId="5758545B" w14:textId="77777777" w:rsidR="00D66C1B" w:rsidRDefault="00D66C1B">
      <w:pPr>
        <w:pStyle w:val="BodyText"/>
        <w:rPr>
          <w:sz w:val="20"/>
        </w:rPr>
      </w:pPr>
    </w:p>
    <w:p w14:paraId="72A8F941" w14:textId="77777777" w:rsidR="00D66C1B" w:rsidRDefault="00D66C1B">
      <w:pPr>
        <w:pStyle w:val="BodyText"/>
        <w:rPr>
          <w:sz w:val="20"/>
        </w:rPr>
      </w:pPr>
    </w:p>
    <w:p w14:paraId="576F166B" w14:textId="77777777" w:rsidR="00D66C1B" w:rsidRDefault="00D66C1B">
      <w:pPr>
        <w:pStyle w:val="BodyText"/>
        <w:rPr>
          <w:sz w:val="20"/>
        </w:rPr>
      </w:pPr>
    </w:p>
    <w:p w14:paraId="5BBBDE9C" w14:textId="77777777" w:rsidR="00D66C1B" w:rsidRDefault="00000000">
      <w:pPr>
        <w:pStyle w:val="BodyText"/>
        <w:spacing w:before="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5FADC7E" wp14:editId="23E9848C">
                <wp:simplePos x="0" y="0"/>
                <wp:positionH relativeFrom="page">
                  <wp:posOffset>899999</wp:posOffset>
                </wp:positionH>
                <wp:positionV relativeFrom="paragraph">
                  <wp:posOffset>192175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15.1319pt;width:453.55pt;height:.1pt;mso-position-horizontal-relative:page;mso-position-vertical-relative:paragraph;z-index:-15728128;mso-wrap-distance-left:0;mso-wrap-distance-right:0" id="docshape8" coordorigin="1417,303" coordsize="9071,0" path="m1417,303l10488,303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5157FB69" w14:textId="77777777" w:rsidR="00D66C1B" w:rsidRDefault="00D66C1B">
      <w:pPr>
        <w:pStyle w:val="BodyText"/>
        <w:spacing w:before="125"/>
        <w:rPr>
          <w:sz w:val="12"/>
        </w:rPr>
      </w:pPr>
    </w:p>
    <w:p w14:paraId="3754C4D6" w14:textId="77777777" w:rsidR="00D66C1B" w:rsidRPr="00221FE5" w:rsidRDefault="00000000">
      <w:pPr>
        <w:pStyle w:val="ListParagraph"/>
        <w:numPr>
          <w:ilvl w:val="0"/>
          <w:numId w:val="1"/>
        </w:numPr>
        <w:tabs>
          <w:tab w:val="left" w:pos="313"/>
          <w:tab w:val="left" w:pos="315"/>
        </w:tabs>
        <w:spacing w:line="235" w:lineRule="auto"/>
        <w:ind w:right="773"/>
        <w:rPr>
          <w:sz w:val="12"/>
        </w:rPr>
      </w:pPr>
      <w:r w:rsidRPr="00221FE5">
        <w:rPr>
          <w:color w:val="231F20"/>
          <w:sz w:val="12"/>
        </w:rPr>
        <w:t>Взято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з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“The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Children’s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Resilience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Programme: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Psychosocial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support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in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and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out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of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schools”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опублікованого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Довідковим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центром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МФЧХ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з</w:t>
      </w:r>
      <w:r w:rsidRPr="00221FE5">
        <w:rPr>
          <w:color w:val="231F20"/>
          <w:spacing w:val="-3"/>
          <w:sz w:val="12"/>
        </w:rPr>
        <w:t xml:space="preserve"> </w:t>
      </w:r>
      <w:r w:rsidRPr="00221FE5">
        <w:rPr>
          <w:color w:val="231F20"/>
          <w:sz w:val="12"/>
        </w:rPr>
        <w:t>питань</w:t>
      </w:r>
      <w:r w:rsidRPr="00221FE5">
        <w:rPr>
          <w:color w:val="231F20"/>
          <w:spacing w:val="40"/>
          <w:sz w:val="12"/>
        </w:rPr>
        <w:t xml:space="preserve"> </w:t>
      </w:r>
      <w:r w:rsidRPr="00221FE5">
        <w:rPr>
          <w:color w:val="231F20"/>
          <w:spacing w:val="-2"/>
          <w:sz w:val="12"/>
        </w:rPr>
        <w:t xml:space="preserve">психосоціальної підтримки та Save the Children Данія, с. 32. </w:t>
      </w:r>
      <w:hyperlink r:id="rId7">
        <w:r w:rsidRPr="00221FE5">
          <w:rPr>
            <w:b/>
            <w:bCs/>
            <w:color w:val="081E3F"/>
            <w:spacing w:val="-2"/>
            <w:sz w:val="12"/>
          </w:rPr>
          <w:t>https://pscentre.org/resource/crp-understanding-childrens-wellbeing-english/</w:t>
        </w:r>
      </w:hyperlink>
    </w:p>
    <w:p w14:paraId="4A10097A" w14:textId="77777777" w:rsidR="00D66C1B" w:rsidRPr="00221FE5" w:rsidRDefault="00000000">
      <w:pPr>
        <w:pStyle w:val="ListParagraph"/>
        <w:numPr>
          <w:ilvl w:val="0"/>
          <w:numId w:val="1"/>
        </w:numPr>
        <w:tabs>
          <w:tab w:val="left" w:pos="314"/>
        </w:tabs>
        <w:spacing w:line="159" w:lineRule="exact"/>
        <w:ind w:left="314" w:hanging="197"/>
        <w:rPr>
          <w:sz w:val="12"/>
        </w:rPr>
      </w:pPr>
      <w:r w:rsidRPr="00221FE5">
        <w:rPr>
          <w:color w:val="231F20"/>
          <w:sz w:val="12"/>
        </w:rPr>
        <w:t>Взято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з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“Moving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Towards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Children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as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Partners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in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Child</w:t>
      </w:r>
      <w:r w:rsidRPr="00221FE5">
        <w:rPr>
          <w:color w:val="231F20"/>
          <w:spacing w:val="-1"/>
          <w:sz w:val="12"/>
        </w:rPr>
        <w:t xml:space="preserve"> </w:t>
      </w:r>
      <w:r w:rsidRPr="00221FE5">
        <w:rPr>
          <w:color w:val="231F20"/>
          <w:sz w:val="12"/>
        </w:rPr>
        <w:t>Protection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in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COVID-19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Guide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-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From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Participation</w:t>
      </w:r>
      <w:r w:rsidRPr="00221FE5">
        <w:rPr>
          <w:color w:val="231F20"/>
          <w:spacing w:val="-2"/>
          <w:sz w:val="12"/>
        </w:rPr>
        <w:t xml:space="preserve"> </w:t>
      </w:r>
      <w:r w:rsidRPr="00221FE5">
        <w:rPr>
          <w:color w:val="231F20"/>
          <w:sz w:val="12"/>
        </w:rPr>
        <w:t>to</w:t>
      </w:r>
      <w:r w:rsidRPr="00221FE5">
        <w:rPr>
          <w:color w:val="231F20"/>
          <w:spacing w:val="-1"/>
          <w:sz w:val="12"/>
        </w:rPr>
        <w:t xml:space="preserve"> </w:t>
      </w:r>
      <w:r w:rsidRPr="00221FE5">
        <w:rPr>
          <w:color w:val="231F20"/>
          <w:spacing w:val="-2"/>
          <w:sz w:val="12"/>
        </w:rPr>
        <w:t>Partnerships”.</w:t>
      </w:r>
    </w:p>
    <w:p w14:paraId="64486EF3" w14:textId="77777777" w:rsidR="00D66C1B" w:rsidRPr="00221FE5" w:rsidRDefault="00000000">
      <w:pPr>
        <w:spacing w:line="162" w:lineRule="exact"/>
        <w:ind w:left="315"/>
        <w:rPr>
          <w:b/>
          <w:bCs/>
          <w:sz w:val="12"/>
        </w:rPr>
      </w:pPr>
      <w:hyperlink r:id="rId8">
        <w:r w:rsidRPr="00221FE5">
          <w:rPr>
            <w:b/>
            <w:bCs/>
            <w:color w:val="081E3F"/>
            <w:sz w:val="12"/>
          </w:rPr>
          <w:t>https://iicrd.org/news/moving-towards-children-partners-child-protection-covid-19-</w:t>
        </w:r>
        <w:r w:rsidRPr="00221FE5">
          <w:rPr>
            <w:b/>
            <w:bCs/>
            <w:color w:val="081E3F"/>
            <w:spacing w:val="-2"/>
            <w:sz w:val="12"/>
          </w:rPr>
          <w:t>guide</w:t>
        </w:r>
      </w:hyperlink>
    </w:p>
    <w:sectPr w:rsidR="00D66C1B" w:rsidRPr="00221FE5">
      <w:footerReference w:type="default" r:id="rId9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DCA9F" w14:textId="77777777" w:rsidR="002962FE" w:rsidRDefault="002962FE">
      <w:r>
        <w:separator/>
      </w:r>
    </w:p>
  </w:endnote>
  <w:endnote w:type="continuationSeparator" w:id="0">
    <w:p w14:paraId="0CF7E8D4" w14:textId="77777777" w:rsidR="002962FE" w:rsidRDefault="00296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C5A5B" w14:textId="601DA4D4" w:rsidR="00D66C1B" w:rsidRDefault="00D66C1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09659" w14:textId="77777777" w:rsidR="002962FE" w:rsidRDefault="002962FE">
      <w:r>
        <w:separator/>
      </w:r>
    </w:p>
  </w:footnote>
  <w:footnote w:type="continuationSeparator" w:id="0">
    <w:p w14:paraId="3F86DBD5" w14:textId="77777777" w:rsidR="002962FE" w:rsidRDefault="00296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84382D"/>
    <w:multiLevelType w:val="hybridMultilevel"/>
    <w:tmpl w:val="BA944A82"/>
    <w:lvl w:ilvl="0" w:tplc="B3F66C96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3BDA64DE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EF8C7388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8E6C6C2C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33EA0762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78082B4E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9312941A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4F9EE890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7B0C006C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abstractNum w:abstractNumId="1" w15:restartNumberingAfterBreak="0">
    <w:nsid w:val="60A32888"/>
    <w:multiLevelType w:val="hybridMultilevel"/>
    <w:tmpl w:val="3C54DC38"/>
    <w:lvl w:ilvl="0" w:tplc="F50EB6C2">
      <w:start w:val="14"/>
      <w:numFmt w:val="decimal"/>
      <w:lvlText w:val="%1"/>
      <w:lvlJc w:val="left"/>
      <w:pPr>
        <w:ind w:left="315" w:hanging="199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uk-UA" w:eastAsia="en-US" w:bidi="ar-SA"/>
      </w:rPr>
    </w:lvl>
    <w:lvl w:ilvl="1" w:tplc="DC9E383C">
      <w:numFmt w:val="bullet"/>
      <w:lvlText w:val="•"/>
      <w:lvlJc w:val="left"/>
      <w:pPr>
        <w:ind w:left="1218" w:hanging="199"/>
      </w:pPr>
      <w:rPr>
        <w:rFonts w:hint="default"/>
        <w:lang w:val="uk-UA" w:eastAsia="en-US" w:bidi="ar-SA"/>
      </w:rPr>
    </w:lvl>
    <w:lvl w:ilvl="2" w:tplc="C11A79A0">
      <w:numFmt w:val="bullet"/>
      <w:lvlText w:val="•"/>
      <w:lvlJc w:val="left"/>
      <w:pPr>
        <w:ind w:left="2117" w:hanging="199"/>
      </w:pPr>
      <w:rPr>
        <w:rFonts w:hint="default"/>
        <w:lang w:val="uk-UA" w:eastAsia="en-US" w:bidi="ar-SA"/>
      </w:rPr>
    </w:lvl>
    <w:lvl w:ilvl="3" w:tplc="7B34EA80">
      <w:numFmt w:val="bullet"/>
      <w:lvlText w:val="•"/>
      <w:lvlJc w:val="left"/>
      <w:pPr>
        <w:ind w:left="3015" w:hanging="199"/>
      </w:pPr>
      <w:rPr>
        <w:rFonts w:hint="default"/>
        <w:lang w:val="uk-UA" w:eastAsia="en-US" w:bidi="ar-SA"/>
      </w:rPr>
    </w:lvl>
    <w:lvl w:ilvl="4" w:tplc="D73A735A">
      <w:numFmt w:val="bullet"/>
      <w:lvlText w:val="•"/>
      <w:lvlJc w:val="left"/>
      <w:pPr>
        <w:ind w:left="3914" w:hanging="199"/>
      </w:pPr>
      <w:rPr>
        <w:rFonts w:hint="default"/>
        <w:lang w:val="uk-UA" w:eastAsia="en-US" w:bidi="ar-SA"/>
      </w:rPr>
    </w:lvl>
    <w:lvl w:ilvl="5" w:tplc="A9408304">
      <w:numFmt w:val="bullet"/>
      <w:lvlText w:val="•"/>
      <w:lvlJc w:val="left"/>
      <w:pPr>
        <w:ind w:left="4812" w:hanging="199"/>
      </w:pPr>
      <w:rPr>
        <w:rFonts w:hint="default"/>
        <w:lang w:val="uk-UA" w:eastAsia="en-US" w:bidi="ar-SA"/>
      </w:rPr>
    </w:lvl>
    <w:lvl w:ilvl="6" w:tplc="94CA7C8E">
      <w:numFmt w:val="bullet"/>
      <w:lvlText w:val="•"/>
      <w:lvlJc w:val="left"/>
      <w:pPr>
        <w:ind w:left="5711" w:hanging="199"/>
      </w:pPr>
      <w:rPr>
        <w:rFonts w:hint="default"/>
        <w:lang w:val="uk-UA" w:eastAsia="en-US" w:bidi="ar-SA"/>
      </w:rPr>
    </w:lvl>
    <w:lvl w:ilvl="7" w:tplc="DA22F91A">
      <w:numFmt w:val="bullet"/>
      <w:lvlText w:val="•"/>
      <w:lvlJc w:val="left"/>
      <w:pPr>
        <w:ind w:left="6609" w:hanging="199"/>
      </w:pPr>
      <w:rPr>
        <w:rFonts w:hint="default"/>
        <w:lang w:val="uk-UA" w:eastAsia="en-US" w:bidi="ar-SA"/>
      </w:rPr>
    </w:lvl>
    <w:lvl w:ilvl="8" w:tplc="F630316C">
      <w:numFmt w:val="bullet"/>
      <w:lvlText w:val="•"/>
      <w:lvlJc w:val="left"/>
      <w:pPr>
        <w:ind w:left="7508" w:hanging="199"/>
      </w:pPr>
      <w:rPr>
        <w:rFonts w:hint="default"/>
        <w:lang w:val="uk-UA" w:eastAsia="en-US" w:bidi="ar-SA"/>
      </w:rPr>
    </w:lvl>
  </w:abstractNum>
  <w:num w:numId="1" w16cid:durableId="103309387">
    <w:abstractNumId w:val="1"/>
  </w:num>
  <w:num w:numId="2" w16cid:durableId="2087918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6C1B"/>
    <w:rsid w:val="00172C68"/>
    <w:rsid w:val="00221FE5"/>
    <w:rsid w:val="002962FE"/>
    <w:rsid w:val="00BD2064"/>
    <w:rsid w:val="00D6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AF9AF9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293" w:lineRule="exact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72C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C68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172C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C68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icrd.org/news/moving-towards-children-partners-child-protection-covid-19-gu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centre.org/resource/crp-understanding-childrens-wellbeing-englis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2024-10-03T22:26:00Z</dcterms:created>
  <dcterms:modified xsi:type="dcterms:W3CDTF">2024-10-03T22:27:00Z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