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771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https://pgi.ifrc.org/resources/action-red-cross-and-red-crescent-national-societies-protect-and-assist-children</w:t>
      </w:r>
    </w:p>
    <w:p w14:paraId="0C5E0E4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https://pgi.ifrc.org/resources/american-red-cross-national-nursing-committee-case-study</w:t>
      </w:r>
    </w:p>
    <w:p w14:paraId="0F55EB92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https://pgi.ifrc.org/resources/american-red-cross-reaching-marginalized-communities</w:t>
      </w:r>
    </w:p>
    <w:p w14:paraId="6E3B0199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https://pgi.ifrc.org/resources/australian-red-cross-building-cultural-competency</w:t>
      </w:r>
    </w:p>
    <w:p w14:paraId="68B9484F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https://pgi.ifrc.org/resources/case-studies-action-against-child-marriage-national-societies</w:t>
      </w:r>
    </w:p>
    <w:p w14:paraId="2717F71C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https://pgi.ifrc.org/resources/case-study-armenia-red-cross-protection-and-assistance-unaccompanied-and-separated</w:t>
      </w:r>
    </w:p>
    <w:p w14:paraId="5D6FC30A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https://pgi.ifrc.org/resources/case-study-bangladesh-red-crescent-child-friendly-spaces</w:t>
      </w:r>
    </w:p>
    <w:p w14:paraId="239A369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https://pgi.ifrc.org/resources/case-study-british-red-cross-protection-and-assistance-unaccompanied-and-separated</w:t>
      </w:r>
    </w:p>
    <w:p w14:paraId="6E2E1906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https://pgi.ifrc.org/resources/case-study-croatia-red-cross-protection-and-assistance-unaccompanied-and-separated</w:t>
      </w:r>
    </w:p>
    <w:p w14:paraId="7982DBE9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https://pgi.ifrc.org/resources/case-study-danish-red-cross-protection-and-assistance-unaccompanied-and-separated</w:t>
      </w:r>
    </w:p>
    <w:p w14:paraId="2C3B66AB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https://pgi.ifrc.org/resources/case-study-danish-red-cross-protection-and-assistance-unaccompanied-and-separated-0</w:t>
      </w:r>
    </w:p>
    <w:p w14:paraId="7DDE6CAF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https://pgi.ifrc.org/resources/case-study-democratic-republic-congo-protection-and-assistance-unaccompanied-and</w:t>
      </w:r>
    </w:p>
    <w:p w14:paraId="58FC691D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https://pgi.ifrc.org/resources/case-study-gambia-red-cross-action-against-child-marriage</w:t>
      </w:r>
    </w:p>
    <w:p w14:paraId="66595AF8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https://pgi.ifrc.org/resources/case-study-gambia-red-cross-caring-unaccompanied-and-separated-children</w:t>
      </w:r>
    </w:p>
    <w:p w14:paraId="0D03C958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https://pgi.ifrc.org/resources/case-study-gambia-red-cross-strengthening-education-and-child-protection</w:t>
      </w:r>
    </w:p>
    <w:p w14:paraId="654FE200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https://pgi.ifrc.org/resources/case-study-hellenic-red-cross-protection-and-assistance-unaccompanied-and-separated</w:t>
      </w:r>
    </w:p>
    <w:p w14:paraId="449DFA35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https://pgi.ifrc.org/resources/case-study-indonesia-red-cross-child-safeguarding-within-youth-programming</w:t>
      </w:r>
    </w:p>
    <w:p w14:paraId="7B94A5C8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https://pgi.ifrc.org/resources/case-study-italian-red-cross-and-casa-refuge-lgbtqia-people-rome-0</w:t>
      </w:r>
    </w:p>
    <w:p w14:paraId="10A8E46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https://pgi.ifrc.org/resources/case-study-italian-red-cross-and-spazio-plus-arcobaleno-space-promoting-social-and-work</w:t>
      </w:r>
    </w:p>
    <w:p w14:paraId="3A4E982F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https://pgi.ifrc.org/resources/case-study-italian-red-cross-protection-and-assistance-unaccompanied-and-separated</w:t>
      </w:r>
    </w:p>
    <w:p w14:paraId="7431245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https://pgi.ifrc.org/resources/case-study-lesotho-protection-children-and-youth-conflict-law</w:t>
      </w:r>
    </w:p>
    <w:p w14:paraId="1C4BA1E1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lastRenderedPageBreak/>
        <w:t>https://pgi.ifrc.org/resources/case-study-malaysia-red-crescent-child-play-activities</w:t>
      </w:r>
    </w:p>
    <w:p w14:paraId="1C8DF5DA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https://pgi.ifrc.org/resources/case-study-massive-open-online-course-children-moving-alone</w:t>
      </w:r>
    </w:p>
    <w:p w14:paraId="0D1D801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https://pgi.ifrc.org/resources/case-study-menstrual-hygiene-management-schoolgirls-south-sudan</w:t>
      </w:r>
    </w:p>
    <w:p w14:paraId="3FC8C329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https://pgi.ifrc.org/resources/case-study-panama-red-cross-childrens-home</w:t>
      </w:r>
    </w:p>
    <w:p w14:paraId="13F3C195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https://pgi.ifrc.org/resources/case-study-portugal-red-cross-protection-and-assistance-unaccompanied-and-separated</w:t>
      </w:r>
    </w:p>
    <w:p w14:paraId="095621C3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https://pgi.ifrc.org/resources/case-study-red-cross-chad-protection-and-assistance-unaccompanied-and-separated-children</w:t>
      </w:r>
    </w:p>
    <w:p w14:paraId="4859E4E5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https://pgi.ifrc.org/resources/case-study-spanish-red-cross-protection-and-assistance-unaccompanied-and-separated</w:t>
      </w:r>
    </w:p>
    <w:p w14:paraId="3BAF01BA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https://pgi.ifrc.org/resources/case-study-swiss-red-cross-protection-and-assistance-unaccompanied-and-separated-children</w:t>
      </w:r>
    </w:p>
    <w:p w14:paraId="43E222EC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https://pgi.ifrc.org/resources/case-study-turkish-red-crescent-cash-protection-and-supporting-separated-children</w:t>
      </w:r>
    </w:p>
    <w:p w14:paraId="55629638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https://pgi.ifrc.org/resources/case-study-turkish-red-crescent-restoring-family-links-children</w:t>
      </w:r>
    </w:p>
    <w:p w14:paraId="4229BE0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https://pgi.ifrc.org/resources/child-friendly-spaces-emergencies</w:t>
      </w:r>
    </w:p>
    <w:p w14:paraId="566D0583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https://pgi.ifrc.org/resources/conducting-sea-risk-assessment-programme</w:t>
      </w:r>
    </w:p>
    <w:p w14:paraId="2F79580B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https://pgi.ifrc.org/resources/embedding-education-and-child-protection-anticipatory-action</w:t>
      </w:r>
    </w:p>
    <w:p w14:paraId="5D337596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https://pgi.ifrc.org/resources/enhancing-child-well-being-through-school-and-community-playgrounds-madagascar</w:t>
      </w:r>
    </w:p>
    <w:p w14:paraId="1A32E24C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https://pgi.ifrc.org/resources/establishing-referral-pathways</w:t>
      </w:r>
    </w:p>
    <w:p w14:paraId="2D20392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https://pgi.ifrc.org/resources/german-red-cross-making-voices-heard</w:t>
      </w:r>
    </w:p>
    <w:p w14:paraId="483E5CB2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https://pgi.ifrc.org/resources/hr-screening-recruitment-and-induction</w:t>
      </w:r>
    </w:p>
    <w:p w14:paraId="1B770157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https://pgi.ifrc.org/resources/ifrc-and-sesame-workshop-child-play-based-assessment-tool</w:t>
      </w:r>
    </w:p>
    <w:p w14:paraId="3F7B36E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https://pgi.ifrc.org/resources/kenya-red-cross-advocacy-and-rehabilitation</w:t>
      </w:r>
    </w:p>
    <w:p w14:paraId="74F71782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https://pgi.ifrc.org/resources/lessons-learned-child-participation-project-colombian-red-cross</w:t>
      </w:r>
    </w:p>
    <w:p w14:paraId="464DC84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https://pgi.ifrc.org/resources/lessons-learned-national-society-actions-against-child-marriage</w:t>
      </w:r>
    </w:p>
    <w:p w14:paraId="3108C43A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https://pgi.ifrc.org/resources/nurturing-resilience-child-friendly-spaces-conflict-affected-pakistan</w:t>
      </w:r>
    </w:p>
    <w:p w14:paraId="385CB1A6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https://pgi.ifrc.org/resources/preventing-sexual-and-gender-based-violence-liberian-schools</w:t>
      </w:r>
    </w:p>
    <w:p w14:paraId="5717F935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https://pgi.ifrc.org/resources/protection-gender-and-inclusion-anticipatory-action-snapshot-nepal</w:t>
      </w:r>
    </w:p>
    <w:p w14:paraId="4DC0402B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https://pgi.ifrc.org/resources/protection-gender-inclusion-and-disaster-law</w:t>
      </w:r>
    </w:p>
    <w:p w14:paraId="636A8A42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https://pgi.ifrc.org/resources/psea-engagement-nigerian-red-cross-society</w:t>
      </w:r>
    </w:p>
    <w:p w14:paraId="0947019D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https://pgi.ifrc.org/resources/psea-officer-role-evaluation-2021</w:t>
      </w:r>
    </w:p>
    <w:p w14:paraId="04158C47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https://pgi.ifrc.org/resources/psea-self-assessment-case-study</w:t>
      </w:r>
    </w:p>
    <w:p w14:paraId="49B321A9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https://pgi.ifrc.org/resources/recovery-development-empowerment-women-disabilities</w:t>
      </w:r>
    </w:p>
    <w:p w14:paraId="781F2E20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https://pgi.ifrc.org/resources/recovery-development-our-journey-disability-inclusion</w:t>
      </w:r>
    </w:p>
    <w:p w14:paraId="5F398AB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https://pgi.ifrc.org/resources/recovery-development-piloting-disability-inclusion-earthquake-affected-communities-nepal</w:t>
      </w:r>
    </w:p>
    <w:p w14:paraId="3D8C8473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https://pgi.ifrc.org/resources/safe-and-inclusive-evaluation-2021</w:t>
      </w:r>
    </w:p>
    <w:p w14:paraId="52C1F90E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https://pgi.ifrc.org/resources/safeguarding-investigations-ifrc</w:t>
      </w:r>
    </w:p>
    <w:p w14:paraId="767C80A6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https://pgi.ifrc.org/resources/samoa-strengthening-protection-gender-and-inclusion-disaster-law</w:t>
      </w:r>
    </w:p>
    <w:p w14:paraId="21605618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https://pgi.ifrc.org/resources/sexual-and-gender-based-violence-good-practice-case-studies-kenya</w:t>
      </w:r>
    </w:p>
    <w:p w14:paraId="07D39EE1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https://pgi.ifrc.org/resources/sexual-and-gender-based-violence-good-practice-case-studies-south-sudan</w:t>
      </w:r>
    </w:p>
    <w:p w14:paraId="5C82CE24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https://pgi.ifrc.org/resources/sexual-and-gender-based-violence-good-practices-burundi</w:t>
      </w:r>
    </w:p>
    <w:p w14:paraId="212B21F5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https://pgi.ifrc.org/resources/sexual-and-gender-based-violence-good-practices-colombia</w:t>
      </w:r>
    </w:p>
    <w:p w14:paraId="0EC2768B" w14:textId="77777777" w:rsidR="00527053" w:rsidRDefault="00527053" w:rsidP="00527053">
      <w:pPr>
        <w:pStyle w:val="ListParagraph"/>
        <w:numPr>
          <w:ilvl w:val="0"/>
          <w:numId w:val="1"/>
        </w:numPr>
      </w:pPr>
      <w:r>
        <w:t>https://pgi.ifrc.org/resources/strengthening-child-protection-and-education-gambia</w:t>
      </w:r>
    </w:p>
    <w:p w14:paraId="7AF6CC91" w14:textId="554A715C" w:rsidR="00127271" w:rsidRDefault="00527053" w:rsidP="00527053">
      <w:pPr>
        <w:pStyle w:val="ListParagraph"/>
        <w:numPr>
          <w:ilvl w:val="0"/>
          <w:numId w:val="1"/>
        </w:numPr>
      </w:pPr>
      <w:r>
        <w:t>https://pgi.ifrc.org/resources/strengthening-internal-safeguarding-systems-liberian-red-cross</w:t>
      </w:r>
    </w:p>
    <w:sectPr w:rsidR="0012727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9702" w14:textId="77777777" w:rsidR="00032C1C" w:rsidRDefault="00032C1C" w:rsidP="00032C1C">
      <w:pPr>
        <w:spacing w:after="0" w:line="240" w:lineRule="auto"/>
      </w:pPr>
      <w:r>
        <w:separator/>
      </w:r>
    </w:p>
  </w:endnote>
  <w:endnote w:type="continuationSeparator" w:id="0">
    <w:p w14:paraId="4C05E0DA" w14:textId="77777777" w:rsidR="00032C1C" w:rsidRDefault="00032C1C" w:rsidP="0003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647F" w14:textId="7461D1F4" w:rsidR="00032C1C" w:rsidRDefault="00032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C07D2B" wp14:editId="0C6213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70205"/>
              <wp:effectExtent l="0" t="0" r="6350" b="0"/>
              <wp:wrapNone/>
              <wp:docPr id="72609845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672C6" w14:textId="790E021F" w:rsidR="00032C1C" w:rsidRPr="00032C1C" w:rsidRDefault="00032C1C" w:rsidP="00032C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C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07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2672C6" w14:textId="790E021F" w:rsidR="00032C1C" w:rsidRPr="00032C1C" w:rsidRDefault="00032C1C" w:rsidP="00032C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C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2E64" w14:textId="61DB028C" w:rsidR="00032C1C" w:rsidRDefault="00032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DACF9" wp14:editId="18CD74A5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70205"/>
              <wp:effectExtent l="0" t="0" r="6350" b="0"/>
              <wp:wrapNone/>
              <wp:docPr id="2514239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46F03" w14:textId="5A73B4E8" w:rsidR="00032C1C" w:rsidRPr="00032C1C" w:rsidRDefault="00032C1C" w:rsidP="00032C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C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AC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946F03" w14:textId="5A73B4E8" w:rsidR="00032C1C" w:rsidRPr="00032C1C" w:rsidRDefault="00032C1C" w:rsidP="00032C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C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ACCF" w14:textId="235F6D6F" w:rsidR="00032C1C" w:rsidRDefault="00032C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F5F5B2" wp14:editId="6C5DB0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70205"/>
              <wp:effectExtent l="0" t="0" r="6350" b="0"/>
              <wp:wrapNone/>
              <wp:docPr id="185083253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EE042" w14:textId="341E2502" w:rsidR="00032C1C" w:rsidRPr="00032C1C" w:rsidRDefault="00032C1C" w:rsidP="00032C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C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5F5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44.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1EEE042" w14:textId="341E2502" w:rsidR="00032C1C" w:rsidRPr="00032C1C" w:rsidRDefault="00032C1C" w:rsidP="00032C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C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7305" w14:textId="77777777" w:rsidR="00032C1C" w:rsidRDefault="00032C1C" w:rsidP="00032C1C">
      <w:pPr>
        <w:spacing w:after="0" w:line="240" w:lineRule="auto"/>
      </w:pPr>
      <w:r>
        <w:separator/>
      </w:r>
    </w:p>
  </w:footnote>
  <w:footnote w:type="continuationSeparator" w:id="0">
    <w:p w14:paraId="619DF3F8" w14:textId="77777777" w:rsidR="00032C1C" w:rsidRDefault="00032C1C" w:rsidP="0003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36D9F"/>
    <w:multiLevelType w:val="hybridMultilevel"/>
    <w:tmpl w:val="7AA0D3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53"/>
    <w:rsid w:val="00032C1C"/>
    <w:rsid w:val="00127271"/>
    <w:rsid w:val="00253CCC"/>
    <w:rsid w:val="00450545"/>
    <w:rsid w:val="004B4102"/>
    <w:rsid w:val="00527053"/>
    <w:rsid w:val="00BC4AF9"/>
    <w:rsid w:val="00C25C6D"/>
    <w:rsid w:val="00CD52D1"/>
    <w:rsid w:val="00D906D5"/>
    <w:rsid w:val="00F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FDAC"/>
  <w15:chartTrackingRefBased/>
  <w15:docId w15:val="{1D2ABEEB-E9A1-4D0A-B2E0-A467C1FC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50545"/>
    <w:pPr>
      <w:shd w:val="clear" w:color="auto" w:fill="0E2841" w:themeFill="text2"/>
      <w:spacing w:after="240" w:line="240" w:lineRule="auto"/>
      <w:contextualSpacing/>
      <w:jc w:val="both"/>
      <w:outlineLvl w:val="0"/>
    </w:pPr>
    <w:rPr>
      <w:rFonts w:ascii="Montserrat" w:eastAsia="MS Gothic" w:hAnsi="Montserrat" w:cs="Open Sans"/>
      <w:b/>
      <w:bCs/>
      <w:color w:val="FFFFFF"/>
      <w:spacing w:val="-10"/>
      <w:kern w:val="28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545"/>
    <w:pPr>
      <w:pBdr>
        <w:bottom w:val="single" w:sz="4" w:space="1" w:color="002060"/>
      </w:pBdr>
      <w:spacing w:before="360" w:line="240" w:lineRule="auto"/>
      <w:jc w:val="both"/>
      <w:outlineLvl w:val="1"/>
    </w:pPr>
    <w:rPr>
      <w:rFonts w:ascii="Open Sans" w:hAnsi="Open Sans" w:cs="Open Sans"/>
      <w:b/>
      <w:bCs/>
      <w:color w:val="0E2841" w:themeColor="text2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545"/>
    <w:pPr>
      <w:spacing w:before="360" w:line="240" w:lineRule="auto"/>
      <w:jc w:val="both"/>
      <w:outlineLvl w:val="2"/>
    </w:pPr>
    <w:rPr>
      <w:rFonts w:ascii="Open Sans" w:hAnsi="Open Sans" w:cs="Open Sans"/>
      <w:b/>
      <w:iCs/>
      <w:color w:val="C00000"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545"/>
    <w:pPr>
      <w:outlineLvl w:val="3"/>
    </w:pPr>
    <w:rPr>
      <w:rFonts w:ascii="Montserrat" w:hAnsi="Montserrat"/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545"/>
    <w:pPr>
      <w:outlineLvl w:val="4"/>
    </w:pPr>
    <w:rPr>
      <w:rFonts w:ascii="Montserrat" w:hAnsi="Montserrat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0545"/>
    <w:rPr>
      <w:rFonts w:ascii="Montserrat" w:eastAsia="MS Gothic" w:hAnsi="Montserrat" w:cs="Open Sans"/>
      <w:b/>
      <w:bCs/>
      <w:color w:val="FFFFFF"/>
      <w:spacing w:val="-10"/>
      <w:kern w:val="28"/>
      <w:sz w:val="40"/>
      <w:szCs w:val="40"/>
      <w:shd w:val="clear" w:color="auto" w:fill="0E2841" w:themeFill="text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0545"/>
    <w:rPr>
      <w:rFonts w:ascii="Open Sans" w:hAnsi="Open Sans" w:cs="Open Sans"/>
      <w:b/>
      <w:bCs/>
      <w:color w:val="0E2841" w:themeColor="text2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0545"/>
    <w:rPr>
      <w:rFonts w:ascii="Open Sans" w:hAnsi="Open Sans" w:cs="Open Sans"/>
      <w:b/>
      <w:iCs/>
      <w:color w:val="C00000"/>
      <w:sz w:val="28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50545"/>
    <w:rPr>
      <w:rFonts w:ascii="Montserrat" w:hAnsi="Montserrat"/>
      <w:b/>
      <w:bCs/>
      <w:i/>
      <w:iCs/>
      <w:sz w:val="22"/>
      <w:szCs w:val="22"/>
      <w:lang w:val="en-CH"/>
    </w:rPr>
  </w:style>
  <w:style w:type="character" w:customStyle="1" w:styleId="Heading4Char">
    <w:name w:val="Heading 4 Char"/>
    <w:basedOn w:val="DefaultParagraphFont"/>
    <w:link w:val="Heading4"/>
    <w:uiPriority w:val="9"/>
    <w:rsid w:val="00450545"/>
    <w:rPr>
      <w:rFonts w:ascii="Montserrat" w:hAnsi="Montserrat"/>
      <w:b/>
      <w:bCs/>
      <w:u w:val="single"/>
      <w:lang w:val="en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0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3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0583A211D044A201A78C753DE8A5" ma:contentTypeVersion="18" ma:contentTypeDescription="Create a new document." ma:contentTypeScope="" ma:versionID="e714b5a93337bc937a55728c5b06d204">
  <xsd:schema xmlns:xsd="http://www.w3.org/2001/XMLSchema" xmlns:xs="http://www.w3.org/2001/XMLSchema" xmlns:p="http://schemas.microsoft.com/office/2006/metadata/properties" xmlns:ns2="06630af9-5fc0-412d-a9fd-193bcc932a71" xmlns:ns3="d7dd978e-d379-4e0c-9b21-9a9b8bd2524f" targetNamespace="http://schemas.microsoft.com/office/2006/metadata/properties" ma:root="true" ma:fieldsID="a1711eae3efd4d604da5fc32929bbb7c" ns2:_="" ns3:_="">
    <xsd:import namespace="06630af9-5fc0-412d-a9fd-193bcc932a71"/>
    <xsd:import namespace="d7dd978e-d379-4e0c-9b21-9a9b8bd25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0af9-5fc0-412d-a9fd-193bcc932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d978e-d379-4e0c-9b21-9a9b8bd25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d7bfa-06c5-498c-8e38-58287095dd7e}" ma:internalName="TaxCatchAll" ma:showField="CatchAllData" ma:web="d7dd978e-d379-4e0c-9b21-9a9b8bd25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30af9-5fc0-412d-a9fd-193bcc932a71">
      <Terms xmlns="http://schemas.microsoft.com/office/infopath/2007/PartnerControls"/>
    </lcf76f155ced4ddcb4097134ff3c332f>
    <TaxCatchAll xmlns="d7dd978e-d379-4e0c-9b21-9a9b8bd2524f" xsi:nil="true"/>
  </documentManagement>
</p:properties>
</file>

<file path=customXml/itemProps1.xml><?xml version="1.0" encoding="utf-8"?>
<ds:datastoreItem xmlns:ds="http://schemas.openxmlformats.org/officeDocument/2006/customXml" ds:itemID="{3C804B0B-F413-43C5-8E55-B90BB93EE12E}"/>
</file>

<file path=customXml/itemProps2.xml><?xml version="1.0" encoding="utf-8"?>
<ds:datastoreItem xmlns:ds="http://schemas.openxmlformats.org/officeDocument/2006/customXml" ds:itemID="{BCE15CB8-6B60-46DC-9294-AADA04D0CD95}"/>
</file>

<file path=customXml/itemProps3.xml><?xml version="1.0" encoding="utf-8"?>
<ds:datastoreItem xmlns:ds="http://schemas.openxmlformats.org/officeDocument/2006/customXml" ds:itemID="{C799870C-70AC-45F6-B098-37E2362340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Wainwright</dc:creator>
  <cp:keywords/>
  <dc:description/>
  <cp:lastModifiedBy>Stephen Wainwright</cp:lastModifiedBy>
  <cp:revision>1</cp:revision>
  <dcterms:created xsi:type="dcterms:W3CDTF">2025-06-18T14:44:00Z</dcterms:created>
  <dcterms:modified xsi:type="dcterms:W3CDTF">2025-06-20T11:15:00Z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6e51769b,2b476219,17fa47c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2025-06-20T11:14:21Z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23c01526-b5f7-486b-a6ef-98e7f03125d6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MSIP_Label_caf3f7fd-5cd4-4287-9002-aceb9af13c42_Tag">
    <vt:lpwstr>10, 0, 1, 1</vt:lpwstr>
  </property>
  <property fmtid="{D5CDD505-2E9C-101B-9397-08002B2CF9AE}" pid="13" name="ContentTypeId">
    <vt:lpwstr>0x010100FFF10583A211D044A201A78C753DE8A5</vt:lpwstr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